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7B60B4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7B60B4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7B60B4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7B60B4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7B60B4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7B60B4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7B60B4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7B60B4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7B60B4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Specyfikacja automatu MKA</w:t>
      </w:r>
    </w:p>
    <w:p w:rsidR="00C44F8A" w:rsidRPr="00AC6E06" w:rsidRDefault="007B60B4" w:rsidP="00D86CA3"/>
    <w:p w:rsidR="00D86CA3" w:rsidRPr="00AC6E06" w:rsidRDefault="007B60B4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AF518E" w:rsidRDefault="007B60B4" w:rsidP="006053DB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59"/>
        <w:gridCol w:w="1276"/>
        <w:gridCol w:w="4353"/>
        <w:gridCol w:w="1884"/>
        <w:gridCol w:w="1176"/>
      </w:tblGrid>
      <w:tr w:rsidR="005C3CBE" w:rsidTr="005E4FDD">
        <w:trPr>
          <w:trHeight w:val="369"/>
        </w:trPr>
        <w:tc>
          <w:tcPr>
            <w:tcW w:w="9648" w:type="dxa"/>
            <w:gridSpan w:val="5"/>
            <w:shd w:val="clear" w:color="auto" w:fill="808080"/>
            <w:vAlign w:val="center"/>
          </w:tcPr>
          <w:p w:rsidR="00AF518E" w:rsidRPr="000C4EC9" w:rsidRDefault="007B60B4" w:rsidP="00F70404">
            <w:pPr>
              <w:rPr>
                <w:rStyle w:val="Podtytutabeli"/>
              </w:rPr>
            </w:pPr>
            <w:r w:rsidRPr="000C4EC9">
              <w:rPr>
                <w:rStyle w:val="Podtytutabeli"/>
              </w:rPr>
              <w:t>Historia zmian</w:t>
            </w:r>
          </w:p>
        </w:tc>
      </w:tr>
      <w:tr w:rsidR="005C3CBE" w:rsidTr="005E4FDD">
        <w:trPr>
          <w:trHeight w:val="369"/>
        </w:trPr>
        <w:tc>
          <w:tcPr>
            <w:tcW w:w="959" w:type="dxa"/>
            <w:shd w:val="clear" w:color="auto" w:fill="BFBFBF"/>
            <w:vAlign w:val="center"/>
          </w:tcPr>
          <w:p w:rsidR="00AF518E" w:rsidRPr="000C4EC9" w:rsidRDefault="007B60B4" w:rsidP="00F70404">
            <w:pPr>
              <w:pStyle w:val="Nagwektabelizmian"/>
            </w:pPr>
            <w:r w:rsidRPr="000C4EC9">
              <w:t>Wersja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AF518E" w:rsidRPr="000C4EC9" w:rsidRDefault="007B60B4" w:rsidP="00F70404">
            <w:pPr>
              <w:pStyle w:val="Nagwektabelizmian"/>
            </w:pPr>
            <w:r w:rsidRPr="000C4EC9">
              <w:t>Data</w:t>
            </w:r>
          </w:p>
        </w:tc>
        <w:tc>
          <w:tcPr>
            <w:tcW w:w="4353" w:type="dxa"/>
            <w:shd w:val="clear" w:color="auto" w:fill="C0C0C0"/>
            <w:vAlign w:val="center"/>
          </w:tcPr>
          <w:p w:rsidR="00AF518E" w:rsidRPr="000C4EC9" w:rsidRDefault="007B60B4" w:rsidP="00F70404">
            <w:pPr>
              <w:pStyle w:val="Nagwektabelizmian"/>
            </w:pPr>
            <w:r w:rsidRPr="000C4EC9">
              <w:t>Opis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AF518E" w:rsidRPr="000C4EC9" w:rsidRDefault="007B60B4" w:rsidP="00F70404">
            <w:pPr>
              <w:pStyle w:val="Nagwektabelizmian"/>
            </w:pPr>
            <w:r w:rsidRPr="000C4EC9">
              <w:t>Autor</w:t>
            </w:r>
          </w:p>
        </w:tc>
        <w:tc>
          <w:tcPr>
            <w:tcW w:w="1176" w:type="dxa"/>
            <w:shd w:val="clear" w:color="auto" w:fill="BFBFBF"/>
            <w:vAlign w:val="center"/>
          </w:tcPr>
          <w:p w:rsidR="00AF518E" w:rsidRPr="000C4EC9" w:rsidRDefault="007B60B4" w:rsidP="00F70404">
            <w:pPr>
              <w:pStyle w:val="Nagwektabelizmian"/>
            </w:pPr>
            <w:r w:rsidRPr="000C4EC9">
              <w:t>Uwagi</w:t>
            </w:r>
          </w:p>
        </w:tc>
      </w:tr>
      <w:tr w:rsidR="005C3CBE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7B60B4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7B60B4" w:rsidP="005E4FDD">
            <w:pPr>
              <w:rPr>
                <w:rStyle w:val="Tekstdlanagwkatabeli"/>
              </w:rPr>
            </w:pPr>
            <w:bookmarkStart w:id="0" w:name="_GoBack"/>
            <w:bookmarkEnd w:id="0"/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C3CBE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7B60B4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7B60B4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C3CBE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7B60B4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7B60B4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C3CBE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7B60B4" w:rsidP="00F70404">
            <w:pPr>
              <w:rPr>
                <w:rStyle w:val="Tekstdlanagwkatabel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7B60B4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7B60B4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F518E" w:rsidRDefault="007B60B4" w:rsidP="006053DB"/>
    <w:p w:rsidR="00AF518E" w:rsidRDefault="007B60B4" w:rsidP="006053DB"/>
    <w:p w:rsidR="00AF518E" w:rsidRDefault="007B60B4" w:rsidP="006053DB"/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7B60B4" w:rsidP="00302E9B">
          <w:pPr>
            <w:pStyle w:val="Nagwekspisutreci"/>
            <w:pageBreakBefore/>
            <w:rPr>
              <w:color w:val="auto"/>
            </w:rPr>
          </w:pPr>
          <w:r w:rsidRPr="000136B8">
            <w:rPr>
              <w:color w:val="auto"/>
            </w:rPr>
            <w:t>Spis treści</w:t>
          </w:r>
        </w:p>
        <w:p w:rsidR="005C3CBE" w:rsidRDefault="007B60B4">
          <w:pPr>
            <w:pStyle w:val="Spistreci1"/>
            <w:rPr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000000" w:history="1">
            <w:r>
              <w:rPr>
                <w:rStyle w:val="Hipercze"/>
              </w:rPr>
              <w:t>1.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Wstęp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_Toc256000000 \h </w:instrText>
            </w:r>
            <w:r>
              <w:fldChar w:fldCharType="separate"/>
            </w:r>
            <w:r>
              <w:rPr>
                <w:rStyle w:val="Hipercze"/>
              </w:rPr>
              <w:t>5</w:t>
            </w:r>
            <w:r>
              <w:fldChar w:fldCharType="end"/>
            </w:r>
          </w:hyperlink>
        </w:p>
        <w:p w:rsidR="005C3CBE" w:rsidRDefault="007B60B4">
          <w:pPr>
            <w:pStyle w:val="Spistreci1"/>
            <w:rPr>
              <w:noProof/>
              <w:sz w:val="22"/>
            </w:rPr>
          </w:pPr>
          <w:hyperlink w:anchor="_Toc256000001" w:history="1">
            <w:r>
              <w:rPr>
                <w:rStyle w:val="Hipercze"/>
              </w:rPr>
              <w:t>2.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Automat do sprzedaży biletów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_Toc256000001 \h </w:instrText>
            </w:r>
            <w:r>
              <w:fldChar w:fldCharType="separate"/>
            </w:r>
            <w:r>
              <w:rPr>
                <w:rStyle w:val="Hipercze"/>
              </w:rPr>
              <w:t>5</w:t>
            </w:r>
            <w:r>
              <w:fldChar w:fldCharType="end"/>
            </w:r>
          </w:hyperlink>
        </w:p>
        <w:p w:rsidR="005C3CBE" w:rsidRDefault="007B60B4">
          <w:pPr>
            <w:pStyle w:val="Spistreci2"/>
            <w:rPr>
              <w:sz w:val="22"/>
            </w:rPr>
          </w:pPr>
          <w:hyperlink w:anchor="_Toc256000002" w:history="1">
            <w:r>
              <w:rPr>
                <w:rStyle w:val="Hipercze"/>
              </w:rPr>
              <w:t>2.1.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Parametry techniczne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_Toc256000002 \h </w:instrText>
            </w:r>
            <w:r>
              <w:fldChar w:fldCharType="separate"/>
            </w:r>
            <w:r>
              <w:rPr>
                <w:rStyle w:val="Hipercze"/>
              </w:rPr>
              <w:t>6</w:t>
            </w:r>
            <w:r>
              <w:fldChar w:fldCharType="end"/>
            </w:r>
          </w:hyperlink>
        </w:p>
        <w:p w:rsidR="005C3CBE" w:rsidRDefault="007B60B4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3" w:history="1">
            <w:r>
              <w:rPr>
                <w:rStyle w:val="Hipercze"/>
              </w:rPr>
              <w:t>2.1.1.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Obudowa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_Toc256000003 \h </w:instrText>
            </w:r>
            <w:r>
              <w:fldChar w:fldCharType="separate"/>
            </w:r>
            <w:r>
              <w:rPr>
                <w:rStyle w:val="Hipercze"/>
              </w:rPr>
              <w:t>6</w:t>
            </w:r>
            <w:r>
              <w:fldChar w:fldCharType="end"/>
            </w:r>
          </w:hyperlink>
        </w:p>
        <w:p w:rsidR="005C3CBE" w:rsidRDefault="007B60B4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4" w:history="1">
            <w:r>
              <w:rPr>
                <w:rStyle w:val="Hipercze"/>
              </w:rPr>
              <w:t>2.1.2.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Wyposaż</w:t>
            </w:r>
            <w:r>
              <w:rPr>
                <w:rStyle w:val="Hipercze"/>
              </w:rPr>
              <w:t>enie wewnętrzne automatu: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_Toc256000004 \h </w:instrText>
            </w:r>
            <w:r>
              <w:fldChar w:fldCharType="separate"/>
            </w:r>
            <w:r>
              <w:rPr>
                <w:rStyle w:val="Hipercze"/>
              </w:rPr>
              <w:t>6</w:t>
            </w:r>
            <w:r>
              <w:fldChar w:fldCharType="end"/>
            </w:r>
          </w:hyperlink>
        </w:p>
        <w:p w:rsidR="005C3CBE" w:rsidRDefault="007B60B4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AF518E" w:rsidRDefault="007B60B4" w:rsidP="00AF518E">
      <w:bookmarkStart w:id="1" w:name="_Toc407788817"/>
      <w:bookmarkStart w:id="2" w:name="_Toc407789079"/>
      <w:bookmarkStart w:id="3" w:name="_Toc407789097"/>
      <w:bookmarkEnd w:id="1"/>
      <w:bookmarkEnd w:id="2"/>
      <w:bookmarkEnd w:id="3"/>
    </w:p>
    <w:p w:rsidR="00E17C80" w:rsidRDefault="007B60B4">
      <w:pPr>
        <w:spacing w:line="240" w:lineRule="auto"/>
      </w:pPr>
      <w:r>
        <w:br w:type="page"/>
      </w:r>
    </w:p>
    <w:p w:rsidR="00E17C80" w:rsidRDefault="007B60B4"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523"/>
        <w:gridCol w:w="2305"/>
        <w:gridCol w:w="2327"/>
        <w:gridCol w:w="1595"/>
        <w:gridCol w:w="1380"/>
      </w:tblGrid>
      <w:tr w:rsidR="005C3CBE" w:rsidTr="005C3C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5C3CBE" w:rsidTr="005C3CBE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5C3CBE">
            <w:pPr>
              <w:rPr>
                <w:sz w:val="20"/>
                <w:szCs w:val="20"/>
              </w:rPr>
            </w:pPr>
          </w:p>
        </w:tc>
      </w:tr>
      <w:tr w:rsidR="005C3CBE" w:rsidTr="005C3CBE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2015-11-26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7B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5C3CBE">
            <w:pPr>
              <w:rPr>
                <w:sz w:val="20"/>
                <w:szCs w:val="20"/>
              </w:rPr>
            </w:pPr>
          </w:p>
        </w:tc>
      </w:tr>
      <w:tr w:rsidR="005C3CBE" w:rsidTr="005C3CBE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5C3CB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5C3CB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5C3CB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5C3CB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5C3CBE" w:rsidRDefault="005C3CBE">
            <w:pPr>
              <w:rPr>
                <w:sz w:val="20"/>
                <w:szCs w:val="20"/>
              </w:rPr>
            </w:pPr>
          </w:p>
        </w:tc>
      </w:tr>
    </w:tbl>
    <w:p w:rsidR="005C3CBE" w:rsidRDefault="007B60B4">
      <w:pPr>
        <w:pStyle w:val="Nagwek1"/>
      </w:pPr>
      <w:r>
        <w:br w:type="page"/>
      </w:r>
      <w:bookmarkStart w:id="4" w:name="_Toc256000000"/>
      <w:bookmarkStart w:id="5" w:name="scroll-bookmark-1"/>
      <w:r>
        <w:lastRenderedPageBreak/>
        <w:t>Wstęp</w:t>
      </w:r>
      <w:bookmarkEnd w:id="4"/>
      <w:bookmarkEnd w:id="5"/>
    </w:p>
    <w:p w:rsidR="005C3CBE" w:rsidRDefault="007B60B4">
      <w:r>
        <w:t>Niniejszy dokument jest częścią Dokumentacji technicznej. Zawiera specyfikację automatu biletowego MKA.</w:t>
      </w:r>
    </w:p>
    <w:p w:rsidR="005C3CBE" w:rsidRDefault="007B60B4">
      <w:r>
        <w:t>Dokument został uzupełniony na podstawie zmian wynikających z prac wdrożeniowych.</w:t>
      </w:r>
    </w:p>
    <w:p w:rsidR="005C3CBE" w:rsidRDefault="007B60B4">
      <w:pPr>
        <w:pStyle w:val="Nagwek1"/>
      </w:pPr>
      <w:bookmarkStart w:id="6" w:name="_Toc256000001"/>
      <w:bookmarkStart w:id="7" w:name="scroll-bookmark-2"/>
      <w:r>
        <w:t>Automat do sprzedaży biletów</w:t>
      </w:r>
      <w:bookmarkEnd w:id="6"/>
      <w:bookmarkEnd w:id="7"/>
    </w:p>
    <w:p w:rsidR="005C3CBE" w:rsidRDefault="007B60B4">
      <w:r>
        <w:rPr>
          <w:b/>
        </w:rPr>
        <w:t>Automat Merona 2035Plus</w:t>
      </w:r>
    </w:p>
    <w:p w:rsidR="005C3CBE" w:rsidRDefault="007B60B4">
      <w:r>
        <w:rPr>
          <w:b/>
        </w:rPr>
        <w:t>Producent</w:t>
      </w:r>
      <w:r>
        <w:rPr>
          <w:b/>
        </w:rPr>
        <w:t>: Merona Poland sp. z o.o.</w:t>
      </w:r>
      <w:r>
        <w:rPr>
          <w:b/>
        </w:rPr>
        <w:br/>
      </w:r>
    </w:p>
    <w:p w:rsidR="005C3CBE" w:rsidRDefault="007B60B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45433877/Automat-MKA-15_cr.jpg?version=1&amp;modificationDate=1426245207000&amp;api=v2" style="width:162.75pt;height:210.75pt" o:allowoverlap="f">
            <v:imagedata r:id="rId8" o:title=""/>
          </v:shape>
        </w:pict>
      </w:r>
    </w:p>
    <w:p w:rsidR="005C3CBE" w:rsidRDefault="005C3CBE"/>
    <w:p w:rsidR="005C3CBE" w:rsidRDefault="007B60B4">
      <w:r>
        <w:t>Automat w wersji stacjonarnej – przeznaczony do poboru wszelkiego rodzaju opłat za usługi, w szczególności:</w:t>
      </w:r>
    </w:p>
    <w:p w:rsidR="005C3CBE" w:rsidRDefault="007B60B4">
      <w:pPr>
        <w:numPr>
          <w:ilvl w:val="0"/>
          <w:numId w:val="12"/>
        </w:numPr>
      </w:pPr>
      <w:r>
        <w:t>opłat za przejazd komunikacją miejską, kolejową , wodną,…</w:t>
      </w:r>
    </w:p>
    <w:p w:rsidR="005C3CBE" w:rsidRDefault="007B60B4">
      <w:pPr>
        <w:numPr>
          <w:ilvl w:val="0"/>
          <w:numId w:val="12"/>
        </w:numPr>
      </w:pPr>
      <w:r>
        <w:t>opłat parkingowych</w:t>
      </w:r>
    </w:p>
    <w:p w:rsidR="005C3CBE" w:rsidRDefault="007B60B4">
      <w:pPr>
        <w:numPr>
          <w:ilvl w:val="0"/>
          <w:numId w:val="12"/>
        </w:numPr>
      </w:pPr>
      <w:r>
        <w:t xml:space="preserve">opłat  za wejście do obiektów (muzea, </w:t>
      </w:r>
      <w:r>
        <w:t>obiekty sportowe,..)</w:t>
      </w:r>
    </w:p>
    <w:p w:rsidR="005C3CBE" w:rsidRDefault="007B60B4">
      <w:pPr>
        <w:numPr>
          <w:ilvl w:val="0"/>
          <w:numId w:val="12"/>
        </w:numPr>
      </w:pPr>
      <w:r>
        <w:t>opłat za usługi gastronomiczne,</w:t>
      </w:r>
    </w:p>
    <w:p w:rsidR="005C3CBE" w:rsidRDefault="007B60B4">
      <w:r>
        <w:t>Możliwa jest również praca w systemie Elektronicznej Karty Miejskiej – sprzedaż biletów z zapisem usługi na Karcie, zapisywanie kontraktów opłaconych poprzez INTERNET, obsługa elektronicznej portmonetki.</w:t>
      </w:r>
      <w:r>
        <w:br/>
        <w:t>Automat może również służyć  jako  INFOKIOSK – do przekazywania informacji i/lub wyświetlania reklam. Automat może pracować samodzielnie, lub pracować w sieci – dowolnych operatorów.</w:t>
      </w:r>
    </w:p>
    <w:p w:rsidR="005C3CBE" w:rsidRDefault="005C3CBE"/>
    <w:p w:rsidR="005C3CBE" w:rsidRDefault="007B60B4">
      <w:pPr>
        <w:pStyle w:val="Nagwek2"/>
      </w:pPr>
      <w:bookmarkStart w:id="8" w:name="_Toc256000002"/>
      <w:bookmarkStart w:id="9" w:name="scroll-bookmark-3"/>
      <w:r>
        <w:lastRenderedPageBreak/>
        <w:t>Parametry techniczne</w:t>
      </w:r>
      <w:bookmarkEnd w:id="8"/>
      <w:bookmarkEnd w:id="9"/>
    </w:p>
    <w:p w:rsidR="005C3CBE" w:rsidRDefault="007B60B4">
      <w:pPr>
        <w:pStyle w:val="Nagwek3"/>
      </w:pPr>
      <w:bookmarkStart w:id="10" w:name="_Toc256000003"/>
      <w:bookmarkStart w:id="11" w:name="scroll-bookmark-4"/>
      <w:r>
        <w:t>Obudowa</w:t>
      </w:r>
      <w:bookmarkEnd w:id="10"/>
      <w:bookmarkEnd w:id="11"/>
    </w:p>
    <w:p w:rsidR="005C3CBE" w:rsidRDefault="007B60B4">
      <w:r>
        <w:rPr>
          <w:u w:val="single"/>
        </w:rPr>
        <w:t>Wymiary</w:t>
      </w:r>
      <w:r>
        <w:t>: 2000 mm X 900 mm x 480 mm</w:t>
      </w:r>
      <w:r>
        <w:br/>
      </w:r>
      <w:r>
        <w:rPr>
          <w:u w:val="single"/>
        </w:rPr>
        <w:t>Materia</w:t>
      </w:r>
      <w:r>
        <w:rPr>
          <w:u w:val="single"/>
        </w:rPr>
        <w:t>ł obudowy</w:t>
      </w:r>
      <w:r>
        <w:t>: stal nierdzewna - malowana proszkowo, powłoka antygrafitti w uzgodnione kolory</w:t>
      </w:r>
      <w:r>
        <w:br/>
      </w:r>
      <w:r>
        <w:rPr>
          <w:u w:val="single"/>
        </w:rPr>
        <w:t>Podstawa</w:t>
      </w:r>
      <w:r>
        <w:t>:</w:t>
      </w:r>
    </w:p>
    <w:p w:rsidR="005C3CBE" w:rsidRDefault="007B60B4">
      <w:pPr>
        <w:numPr>
          <w:ilvl w:val="0"/>
          <w:numId w:val="13"/>
        </w:numPr>
      </w:pPr>
      <w:r>
        <w:t>zawiera elementy złącza kablowego -wewnętrzną skrzynkę przyłącza elektrycznego, w tym stosowne zabezpieczenie nadprądowe,</w:t>
      </w:r>
    </w:p>
    <w:p w:rsidR="005C3CBE" w:rsidRDefault="007B60B4">
      <w:pPr>
        <w:numPr>
          <w:ilvl w:val="0"/>
          <w:numId w:val="13"/>
        </w:numPr>
      </w:pPr>
      <w:r>
        <w:t>zabezpieczenie różnicowo- prądowe,</w:t>
      </w:r>
    </w:p>
    <w:p w:rsidR="005C3CBE" w:rsidRDefault="007B60B4">
      <w:pPr>
        <w:numPr>
          <w:ilvl w:val="0"/>
          <w:numId w:val="13"/>
        </w:numPr>
      </w:pPr>
      <w:r>
        <w:t>LZ + zasilacz 230 V AC /24 V DC w standardzie przystosowany do pracy buforowej do wykorzystania w opcji zasilania z oświetlenia ulicznego.</w:t>
      </w:r>
    </w:p>
    <w:p w:rsidR="005C3CBE" w:rsidRDefault="007B60B4">
      <w:r>
        <w:rPr>
          <w:u w:val="single"/>
        </w:rPr>
        <w:t>Daszek</w:t>
      </w:r>
      <w:r>
        <w:t>: typu „czapka”</w:t>
      </w:r>
      <w:r>
        <w:br/>
      </w:r>
      <w:r>
        <w:rPr>
          <w:u w:val="single"/>
        </w:rPr>
        <w:t>Zabezpieczenie mechaniczne</w:t>
      </w:r>
      <w:r>
        <w:t>:</w:t>
      </w:r>
    </w:p>
    <w:p w:rsidR="005C3CBE" w:rsidRDefault="007B60B4">
      <w:pPr>
        <w:numPr>
          <w:ilvl w:val="0"/>
          <w:numId w:val="14"/>
        </w:numPr>
      </w:pPr>
      <w:r>
        <w:t>Dwa niezależne zamki drzwi zewnętrznych oraz trzeci do komory zasi</w:t>
      </w:r>
      <w:r>
        <w:t>lania - zamki w systemie Master, certyfikowane, chronione patentem ,dedykowane do pracy w trudnych warunkach atmosferycznych,</w:t>
      </w:r>
    </w:p>
    <w:p w:rsidR="005C3CBE" w:rsidRDefault="007B60B4">
      <w:pPr>
        <w:numPr>
          <w:ilvl w:val="0"/>
          <w:numId w:val="14"/>
        </w:numPr>
      </w:pPr>
      <w:r>
        <w:t>zabezpieczone przed unieruchomieniem wkładki wskutek zapchania ciałami obcymi,</w:t>
      </w:r>
    </w:p>
    <w:p w:rsidR="005C3CBE" w:rsidRDefault="007B60B4">
      <w:pPr>
        <w:numPr>
          <w:ilvl w:val="0"/>
          <w:numId w:val="14"/>
        </w:numPr>
      </w:pPr>
      <w:r>
        <w:t>3 komplety kluczy,</w:t>
      </w:r>
    </w:p>
    <w:p w:rsidR="005C3CBE" w:rsidRDefault="007B60B4">
      <w:pPr>
        <w:numPr>
          <w:ilvl w:val="0"/>
          <w:numId w:val="14"/>
        </w:numPr>
      </w:pPr>
      <w:r>
        <w:t xml:space="preserve">drzwi zewnętrzne i wewnętrzne </w:t>
      </w:r>
      <w:r>
        <w:t>zabezpieczone wyłącznikami krańcowymi, sprzężonymi z systemem monitoringu automatu</w:t>
      </w:r>
    </w:p>
    <w:p w:rsidR="005C3CBE" w:rsidRDefault="007B60B4">
      <w:pPr>
        <w:numPr>
          <w:ilvl w:val="0"/>
          <w:numId w:val="14"/>
        </w:numPr>
      </w:pPr>
      <w:r>
        <w:t>wszystkie drzwi wewnętrzne i wydzielonych stref ograniczonego dostępu, wyposażone w zamki patentowe w systemie Master.</w:t>
      </w:r>
    </w:p>
    <w:p w:rsidR="005C3CBE" w:rsidRDefault="005C3CBE"/>
    <w:p w:rsidR="005C3CBE" w:rsidRDefault="007B60B4">
      <w:pPr>
        <w:pStyle w:val="Nagwek3"/>
      </w:pPr>
      <w:bookmarkStart w:id="12" w:name="_Toc256000004"/>
      <w:bookmarkStart w:id="13" w:name="scroll-bookmark-5"/>
      <w:r>
        <w:t>Wyposażenie wewnętrzne automatu:</w:t>
      </w:r>
      <w:bookmarkEnd w:id="12"/>
      <w:bookmarkEnd w:id="13"/>
    </w:p>
    <w:p w:rsidR="005C3CBE" w:rsidRDefault="007B60B4">
      <w:r>
        <w:rPr>
          <w:u w:val="single"/>
        </w:rPr>
        <w:t>Drukarka:</w:t>
      </w:r>
      <w:r>
        <w:t xml:space="preserve"> Hengstler </w:t>
      </w:r>
      <w:r>
        <w:t>współpracująca z 2 rolkami papieru</w:t>
      </w:r>
      <w:r>
        <w:br/>
      </w:r>
      <w:r>
        <w:rPr>
          <w:u w:val="single"/>
        </w:rPr>
        <w:t>Akceptor monet</w:t>
      </w:r>
      <w:r>
        <w:t>:</w:t>
      </w:r>
    </w:p>
    <w:p w:rsidR="005C3CBE" w:rsidRDefault="007B60B4">
      <w:pPr>
        <w:numPr>
          <w:ilvl w:val="0"/>
          <w:numId w:val="15"/>
        </w:numPr>
      </w:pPr>
      <w:r>
        <w:t>system monet Currenza</w:t>
      </w:r>
    </w:p>
    <w:p w:rsidR="005C3CBE" w:rsidRDefault="007B60B4">
      <w:pPr>
        <w:numPr>
          <w:ilvl w:val="0"/>
          <w:numId w:val="15"/>
        </w:numPr>
      </w:pPr>
      <w:r>
        <w:t>z 6 tubami wydawania reszty – z nominałami 10 gr, 20 gr, 50 gr, 1 zł, 2 zł, 5 zł</w:t>
      </w:r>
    </w:p>
    <w:p w:rsidR="005C3CBE" w:rsidRDefault="007B60B4">
      <w:pPr>
        <w:numPr>
          <w:ilvl w:val="0"/>
          <w:numId w:val="15"/>
        </w:numPr>
      </w:pPr>
      <w:r>
        <w:t>przyjmuje 6 nominałów - będące w obiegu monety ( od 10 gr do 5 PLN)</w:t>
      </w:r>
    </w:p>
    <w:p w:rsidR="005C3CBE" w:rsidRDefault="007B60B4">
      <w:pPr>
        <w:numPr>
          <w:ilvl w:val="0"/>
          <w:numId w:val="15"/>
        </w:numPr>
      </w:pPr>
      <w:r>
        <w:t>kasa pośrednia do sortowania monet</w:t>
      </w:r>
    </w:p>
    <w:p w:rsidR="005C3CBE" w:rsidRDefault="007B60B4">
      <w:pPr>
        <w:numPr>
          <w:ilvl w:val="0"/>
          <w:numId w:val="15"/>
        </w:numPr>
      </w:pPr>
      <w:r>
        <w:t>elektromechaniczny wlot monet</w:t>
      </w:r>
    </w:p>
    <w:p w:rsidR="005C3CBE" w:rsidRDefault="007B60B4">
      <w:r>
        <w:rPr>
          <w:u w:val="single"/>
        </w:rPr>
        <w:t>Hoppery</w:t>
      </w:r>
      <w:r>
        <w:t>: 4 hoppery każdy na jeden rodzaj monet</w:t>
      </w:r>
      <w:r>
        <w:br/>
      </w:r>
      <w:r>
        <w:rPr>
          <w:u w:val="single"/>
        </w:rPr>
        <w:t>Akceptor banknotów:</w:t>
      </w:r>
    </w:p>
    <w:p w:rsidR="005C3CBE" w:rsidRDefault="007B60B4">
      <w:pPr>
        <w:numPr>
          <w:ilvl w:val="0"/>
          <w:numId w:val="16"/>
        </w:numPr>
      </w:pPr>
      <w:r>
        <w:t>przyjęcie do 15 banknotów podczas jednej transakcji</w:t>
      </w:r>
    </w:p>
    <w:p w:rsidR="005C3CBE" w:rsidRDefault="007B60B4">
      <w:pPr>
        <w:numPr>
          <w:ilvl w:val="0"/>
          <w:numId w:val="16"/>
        </w:numPr>
      </w:pPr>
      <w:r>
        <w:t>zwrot przyjętych banknotów przy rezygnacji</w:t>
      </w:r>
    </w:p>
    <w:p w:rsidR="005C3CBE" w:rsidRDefault="007B60B4">
      <w:pPr>
        <w:numPr>
          <w:ilvl w:val="0"/>
          <w:numId w:val="16"/>
        </w:numPr>
      </w:pPr>
      <w:r>
        <w:t>kaseta na 600 banknotów</w:t>
      </w:r>
    </w:p>
    <w:p w:rsidR="005C3CBE" w:rsidRDefault="007B60B4">
      <w:r>
        <w:rPr>
          <w:u w:val="single"/>
        </w:rPr>
        <w:lastRenderedPageBreak/>
        <w:t>Karty płatnicze</w:t>
      </w:r>
      <w:r>
        <w:t xml:space="preserve">: obsługa kart </w:t>
      </w:r>
      <w:r>
        <w:t>płatniczych w tym zbliżeniowo</w:t>
      </w:r>
      <w:r>
        <w:br/>
      </w:r>
      <w:r>
        <w:rPr>
          <w:u w:val="single"/>
        </w:rPr>
        <w:t>Zasilacz</w:t>
      </w:r>
      <w:r>
        <w:t>:</w:t>
      </w:r>
    </w:p>
    <w:p w:rsidR="005C3CBE" w:rsidRDefault="007B60B4">
      <w:pPr>
        <w:numPr>
          <w:ilvl w:val="0"/>
          <w:numId w:val="17"/>
        </w:numPr>
      </w:pPr>
      <w:r>
        <w:t>24 VDC z UPS - przekształcający napięcie na 12 V ,5 V, 24 V stabilizowane</w:t>
      </w:r>
    </w:p>
    <w:p w:rsidR="005C3CBE" w:rsidRDefault="007B60B4">
      <w:pPr>
        <w:numPr>
          <w:ilvl w:val="0"/>
          <w:numId w:val="17"/>
        </w:numPr>
      </w:pPr>
      <w:r>
        <w:t>z funkcją awaryjnego podtrzymania zasilania automatu przy zaniku zasilania zewnętrznego 230V (pozwala na zamknięcie rozpoczętej transakcji).</w:t>
      </w:r>
    </w:p>
    <w:p w:rsidR="005C3CBE" w:rsidRDefault="007B60B4">
      <w:r>
        <w:rPr>
          <w:u w:val="single"/>
        </w:rPr>
        <w:t>M</w:t>
      </w:r>
      <w:r>
        <w:rPr>
          <w:u w:val="single"/>
        </w:rPr>
        <w:t>odem</w:t>
      </w:r>
      <w:r>
        <w:t>: GPRS/UMTS z anteną</w:t>
      </w:r>
      <w:r>
        <w:br/>
      </w:r>
      <w:r>
        <w:rPr>
          <w:u w:val="single"/>
        </w:rPr>
        <w:t>Jednostka sterująca</w:t>
      </w:r>
      <w:r>
        <w:t>: (PC INTEL I3 + peryferia Dysk SSD 120 GBx2 + RAM 2 GB)</w:t>
      </w:r>
      <w:r>
        <w:br/>
      </w:r>
      <w:r>
        <w:rPr>
          <w:u w:val="single"/>
        </w:rPr>
        <w:t>System operacyjny</w:t>
      </w:r>
      <w:r>
        <w:t>: Windows 7 Embedded</w:t>
      </w:r>
      <w:r>
        <w:br/>
      </w:r>
      <w:r>
        <w:rPr>
          <w:u w:val="single"/>
        </w:rPr>
        <w:t>Warunki pracy</w:t>
      </w:r>
      <w:r>
        <w:t>:</w:t>
      </w:r>
    </w:p>
    <w:p w:rsidR="005C3CBE" w:rsidRDefault="007B60B4">
      <w:pPr>
        <w:numPr>
          <w:ilvl w:val="0"/>
          <w:numId w:val="18"/>
        </w:numPr>
      </w:pPr>
      <w:r>
        <w:t>temperatura pracy: -25 st.C do 60 st.C</w:t>
      </w:r>
    </w:p>
    <w:p w:rsidR="005C3CBE" w:rsidRDefault="007B60B4">
      <w:pPr>
        <w:numPr>
          <w:ilvl w:val="0"/>
          <w:numId w:val="18"/>
        </w:numPr>
      </w:pPr>
      <w:r>
        <w:t>wilgotność względna 95% bez kondensacji</w:t>
      </w:r>
    </w:p>
    <w:p w:rsidR="005C3CBE" w:rsidRDefault="007B60B4">
      <w:pPr>
        <w:numPr>
          <w:ilvl w:val="0"/>
          <w:numId w:val="18"/>
        </w:numPr>
      </w:pPr>
      <w:r>
        <w:t xml:space="preserve">przystosowany do pracy </w:t>
      </w:r>
      <w:r>
        <w:t>w warunkach zewnętrznych (deszcz, śnieg, słońce).</w:t>
      </w:r>
    </w:p>
    <w:p w:rsidR="005C3CBE" w:rsidRDefault="007B60B4">
      <w:r>
        <w:rPr>
          <w:u w:val="single"/>
        </w:rPr>
        <w:t>Ekran LCD</w:t>
      </w:r>
      <w:r>
        <w:t>:</w:t>
      </w:r>
    </w:p>
    <w:p w:rsidR="005C3CBE" w:rsidRDefault="007B60B4">
      <w:pPr>
        <w:numPr>
          <w:ilvl w:val="0"/>
          <w:numId w:val="19"/>
        </w:numPr>
      </w:pPr>
      <w:r>
        <w:t>15,4 " z podświetleniem LED</w:t>
      </w:r>
    </w:p>
    <w:p w:rsidR="005C3CBE" w:rsidRDefault="007B60B4">
      <w:pPr>
        <w:numPr>
          <w:ilvl w:val="0"/>
          <w:numId w:val="19"/>
        </w:numPr>
      </w:pPr>
      <w:r>
        <w:t>wandaloodporny</w:t>
      </w:r>
    </w:p>
    <w:p w:rsidR="005C3CBE" w:rsidRDefault="007B60B4">
      <w:pPr>
        <w:numPr>
          <w:ilvl w:val="0"/>
          <w:numId w:val="19"/>
        </w:numPr>
      </w:pPr>
      <w:r>
        <w:t>ze zwiększonym zakresem temperatur (minimum wg. parametrów temperatury podanej dla całego automatu)</w:t>
      </w:r>
    </w:p>
    <w:p w:rsidR="005C3CBE" w:rsidRDefault="007B60B4">
      <w:pPr>
        <w:numPr>
          <w:ilvl w:val="0"/>
          <w:numId w:val="19"/>
        </w:numPr>
      </w:pPr>
      <w:r>
        <w:t>ekran dotykowy - technologia IRtouch</w:t>
      </w:r>
    </w:p>
    <w:p w:rsidR="005C3CBE" w:rsidRDefault="007B60B4">
      <w:r>
        <w:rPr>
          <w:u w:val="single"/>
        </w:rPr>
        <w:t>Kaseta</w:t>
      </w:r>
      <w:r>
        <w:t xml:space="preserve">: kaseta </w:t>
      </w:r>
      <w:r>
        <w:t>na bilon i banknoty</w:t>
      </w:r>
      <w:r>
        <w:br/>
      </w:r>
      <w:r>
        <w:rPr>
          <w:u w:val="single"/>
        </w:rPr>
        <w:t>Kamera</w:t>
      </w:r>
      <w:r>
        <w:t>: system CCTV składający się z kamerki pinhole CDD PY55FF w drzwiach</w:t>
      </w:r>
      <w:r>
        <w:br/>
      </w:r>
      <w:r>
        <w:rPr>
          <w:u w:val="single"/>
        </w:rPr>
        <w:t>Czytnik kart zbliżeniowych</w:t>
      </w:r>
      <w:r>
        <w:t>: RFID – zgodne z MIFARE</w:t>
      </w:r>
    </w:p>
    <w:p w:rsidR="005C3CBE" w:rsidRDefault="005C3CBE"/>
    <w:p w:rsidR="005C3CBE" w:rsidRDefault="005C3CBE"/>
    <w:p w:rsidR="00834A30" w:rsidRDefault="007B60B4" w:rsidP="00AF518E"/>
    <w:p w:rsidR="00AF518E" w:rsidRDefault="007B60B4" w:rsidP="00AF518E"/>
    <w:sectPr w:rsidR="00AF518E" w:rsidSect="00AC6E06">
      <w:headerReference w:type="default" r:id="rId9"/>
      <w:footerReference w:type="even" r:id="rId10"/>
      <w:footerReference w:type="default" r:id="rId11"/>
      <w:pgSz w:w="11906" w:h="16838"/>
      <w:pgMar w:top="0" w:right="1418" w:bottom="709" w:left="1418" w:header="709" w:footer="567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0B4" w:rsidRDefault="007B60B4">
      <w:pPr>
        <w:spacing w:line="240" w:lineRule="auto"/>
      </w:pPr>
      <w:r>
        <w:separator/>
      </w:r>
    </w:p>
  </w:endnote>
  <w:endnote w:type="continuationSeparator" w:id="0">
    <w:p w:rsidR="007B60B4" w:rsidRDefault="007B60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7B60B4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7B60B4" w:rsidP="00310820">
    <w:pPr>
      <w:pStyle w:val="Stopka"/>
      <w:ind w:right="360"/>
    </w:pPr>
  </w:p>
  <w:p w:rsidR="00F70404" w:rsidRDefault="007B60B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7B60B4" w:rsidP="00861F36">
    <w:pPr>
      <w:pStyle w:val="Stopka"/>
      <w:spacing w:before="120"/>
      <w:jc w:val="center"/>
      <w:rPr>
        <w:sz w:val="14"/>
        <w:szCs w:val="14"/>
      </w:rPr>
    </w:pPr>
  </w:p>
  <w:p w:rsidR="00F70404" w:rsidRDefault="007B60B4" w:rsidP="00861F36">
    <w:pPr>
      <w:pStyle w:val="Stopka"/>
      <w:spacing w:before="120"/>
      <w:jc w:val="center"/>
      <w:rPr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-28575</wp:posOffset>
          </wp:positionV>
          <wp:extent cx="776605" cy="32385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mg_atos_monochrome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4696200</wp:posOffset>
          </wp:positionH>
          <wp:positionV relativeFrom="paragraph">
            <wp:posOffset>-28575</wp:posOffset>
          </wp:positionV>
          <wp:extent cx="1068190" cy="3240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9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 xml:space="preserve">PAGE  \* </w:instrText>
    </w:r>
    <w:r w:rsidRPr="00CC59F9">
      <w:rPr>
        <w:b/>
        <w:sz w:val="14"/>
        <w:szCs w:val="14"/>
      </w:rPr>
      <w:instrText>Arabic  \* MERGEFORMAT</w:instrText>
    </w:r>
    <w:r w:rsidRPr="00CC59F9">
      <w:rPr>
        <w:b/>
        <w:sz w:val="14"/>
        <w:szCs w:val="14"/>
      </w:rPr>
      <w:fldChar w:fldCharType="separate"/>
    </w:r>
    <w:r w:rsidR="0043674C">
      <w:rPr>
        <w:b/>
        <w:noProof/>
        <w:sz w:val="14"/>
        <w:szCs w:val="14"/>
      </w:rPr>
      <w:t>1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43674C">
      <w:rPr>
        <w:b/>
        <w:noProof/>
        <w:sz w:val="14"/>
        <w:szCs w:val="14"/>
      </w:rPr>
      <w:t>7</w:t>
    </w:r>
    <w:r w:rsidRPr="00CC59F9">
      <w:rPr>
        <w:b/>
        <w:sz w:val="14"/>
        <w:szCs w:val="14"/>
      </w:rPr>
      <w:fldChar w:fldCharType="end"/>
    </w:r>
  </w:p>
  <w:p w:rsidR="00F70404" w:rsidRPr="00EA4AF6" w:rsidRDefault="007B60B4" w:rsidP="00EA4A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0B4" w:rsidRDefault="007B60B4">
      <w:pPr>
        <w:spacing w:line="240" w:lineRule="auto"/>
      </w:pPr>
      <w:r>
        <w:separator/>
      </w:r>
    </w:p>
  </w:footnote>
  <w:footnote w:type="continuationSeparator" w:id="0">
    <w:p w:rsidR="007B60B4" w:rsidRDefault="007B60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7B60B4" w:rsidP="00F70404">
    <w:pPr>
      <w:pStyle w:val="Nagwek"/>
      <w:jc w:val="center"/>
      <w:rPr>
        <w:rFonts w:ascii="Verdana" w:eastAsia="Arial Unicode MS" w:hAnsi="Verdana"/>
        <w:sz w:val="14"/>
      </w:rPr>
    </w:pPr>
    <w:r>
      <w:rPr>
        <w:rFonts w:ascii="Verdana" w:eastAsia="Arial Unicode MS" w:hAnsi="Verdana"/>
        <w:noProof/>
        <w:sz w:val="14"/>
      </w:rPr>
      <w:drawing>
        <wp:inline distT="0" distB="0" distL="0" distR="0">
          <wp:extent cx="5759450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i znakow_poziom pl - Copy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1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0404" w:rsidRPr="00EA4AF6" w:rsidRDefault="007B60B4" w:rsidP="00EA4A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909C15E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6B8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786E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908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6A2F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685C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2BA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CF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3ED8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85FC9C2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67327DDC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42899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E6769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D36C2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4695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E076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DE2D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1C6D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2218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 w:tplc="8E9C81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9E2694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874B38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47E848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25EE6E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3EDB6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8064AD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74A34B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BE49B6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>
    <w:nsid w:val="7F84353D"/>
    <w:multiLevelType w:val="hybridMultilevel"/>
    <w:tmpl w:val="7F84353D"/>
    <w:lvl w:ilvl="0" w:tplc="4BE285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3CE518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734D0A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ADCB0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7B8421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750C6A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8840BF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227FB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ED6E59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>
    <w:nsid w:val="7F84353E"/>
    <w:multiLevelType w:val="hybridMultilevel"/>
    <w:tmpl w:val="7F84353E"/>
    <w:lvl w:ilvl="0" w:tplc="17742F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74C965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22EC3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DFC688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15A9E0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7F6D5F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63015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78CA19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E1E5BB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>
    <w:nsid w:val="7F84353F"/>
    <w:multiLevelType w:val="hybridMultilevel"/>
    <w:tmpl w:val="7F84353F"/>
    <w:lvl w:ilvl="0" w:tplc="045CB3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DB06AB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98CA19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924533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F6C23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60AFD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BA0418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AB4B52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01679F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>
    <w:nsid w:val="7F843540"/>
    <w:multiLevelType w:val="hybridMultilevel"/>
    <w:tmpl w:val="7F843540"/>
    <w:lvl w:ilvl="0" w:tplc="2056E8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DDC6B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9DE30D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1DCC84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D6EE96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E5C295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3CE0FF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45C8AA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770597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8">
    <w:nsid w:val="7F843541"/>
    <w:multiLevelType w:val="hybridMultilevel"/>
    <w:tmpl w:val="7F843541"/>
    <w:lvl w:ilvl="0" w:tplc="300A69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93E50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CE830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8D892A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0E02D5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3F8884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8AE60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C2C19D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97A8B3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>
    <w:nsid w:val="7F843542"/>
    <w:multiLevelType w:val="hybridMultilevel"/>
    <w:tmpl w:val="7F843542"/>
    <w:lvl w:ilvl="0" w:tplc="32D0DD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BF2AC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87C68D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A6031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1CC29F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D7E318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442448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D6A6BB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6A0713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">
    <w:nsid w:val="7F843543"/>
    <w:multiLevelType w:val="hybridMultilevel"/>
    <w:tmpl w:val="7F843543"/>
    <w:lvl w:ilvl="0" w:tplc="FA3C81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074DF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4A01B1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536D8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D62A22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AD2674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B5EAA0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8DC5EA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9EC74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CBE"/>
    <w:rsid w:val="0043674C"/>
    <w:rsid w:val="005C3CBE"/>
    <w:rsid w:val="007B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342161-C90C-40A2-B4C1-02ABF7C3E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C6E06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C6E06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 w:after="6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Ind w:w="0" w:type="dxa"/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AC6E06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Ind w:w="0" w:type="dxa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left w:w="108" w:type="dxa"/>
        <w:bottom w:w="57" w:type="dxa"/>
        <w:right w:w="108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Ind w:w="0" w:type="dxa"/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Ind w:w="0" w:type="dxa"/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Ind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Ind w:w="0" w:type="dxa"/>
      <w:tblCellMar>
        <w:top w:w="0" w:type="dxa"/>
        <w:left w:w="58" w:type="dxa"/>
        <w:bottom w:w="0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FC1EA-F7D0-4A28-8B86-AC85F676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110</TotalTime>
  <Pages>7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M.Baran</cp:lastModifiedBy>
  <cp:revision>22</cp:revision>
  <cp:lastPrinted>2014-12-31T10:50:00Z</cp:lastPrinted>
  <dcterms:created xsi:type="dcterms:W3CDTF">2014-10-30T11:38:00Z</dcterms:created>
  <dcterms:modified xsi:type="dcterms:W3CDTF">2015-12-16T10:58:00Z</dcterms:modified>
</cp:coreProperties>
</file>